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42B1" w14:textId="654DD312" w:rsidR="002E2B9E" w:rsidRPr="002E2B9E" w:rsidRDefault="002E2B9E" w:rsidP="002E2B9E">
      <w:pPr>
        <w:spacing w:after="0" w:line="360" w:lineRule="auto"/>
        <w:ind w:firstLine="720"/>
        <w:jc w:val="center"/>
        <w:rPr>
          <w:rFonts w:ascii="Arial" w:eastAsia="Times New Roman" w:hAnsi="Arial"/>
          <w:b/>
          <w:color w:val="000000" w:themeColor="text1"/>
          <w:szCs w:val="28"/>
          <w:lang w:val="mn-MN" w:bidi="mn-Mong-MN"/>
        </w:rPr>
      </w:pPr>
      <w:r w:rsidRPr="002E2B9E">
        <w:rPr>
          <w:rFonts w:ascii="Arial" w:eastAsia="Times New Roman" w:hAnsi="Arial"/>
          <w:b/>
          <w:color w:val="000000" w:themeColor="text1"/>
          <w:szCs w:val="28"/>
          <w:lang w:val="mn-MN" w:bidi="mn-Mong-MN"/>
        </w:rPr>
        <w:t>САНХҮҮГИЙН ХЯНАЛТ ДОТООД АУДИТЫН АЛБА</w:t>
      </w:r>
    </w:p>
    <w:p w14:paraId="75A742E3" w14:textId="77777777" w:rsidR="002E2B9E" w:rsidRPr="002E2B9E" w:rsidRDefault="002E2B9E" w:rsidP="002E2B9E">
      <w:pPr>
        <w:spacing w:after="0" w:line="360" w:lineRule="auto"/>
        <w:ind w:firstLine="720"/>
        <w:jc w:val="center"/>
        <w:rPr>
          <w:rFonts w:ascii="Arial" w:eastAsia="Times New Roman" w:hAnsi="Arial"/>
          <w:bCs/>
          <w:color w:val="000000" w:themeColor="text1"/>
          <w:szCs w:val="28"/>
          <w:lang w:val="mn-MN" w:bidi="mn-Mong-MN"/>
        </w:rPr>
      </w:pPr>
    </w:p>
    <w:p w14:paraId="66C0EE93" w14:textId="6FC2F47D" w:rsidR="001459D2" w:rsidRDefault="007E411C" w:rsidP="007663B1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color w:val="000000" w:themeColor="text1"/>
          <w:lang w:val="mn-MN"/>
        </w:rPr>
      </w:pPr>
      <w:r>
        <w:rPr>
          <w:rFonts w:ascii="Arial" w:eastAsia="Times New Roman" w:hAnsi="Arial" w:cs="Arial"/>
          <w:bCs/>
          <w:color w:val="000000" w:themeColor="text1"/>
          <w:lang w:val="mn-MN"/>
        </w:rPr>
        <w:t xml:space="preserve">Эрсдэлийг төсөв, гүйцэтгэл, удирдлагын тогтвортой байдал, өмнөх болон хөндлөнгийн аудитын дүгнэлт зэрэг үзүүлэлтээр нийт 158 байгууллагын эрсдэлийг үнэлж, эрсдэл ихтэй </w:t>
      </w:r>
      <w:r w:rsidR="002727B5">
        <w:rPr>
          <w:rFonts w:ascii="Arial" w:eastAsia="Times New Roman" w:hAnsi="Arial" w:cs="Arial"/>
          <w:bCs/>
          <w:color w:val="000000" w:themeColor="text1"/>
          <w:lang w:val="mn-MN"/>
        </w:rPr>
        <w:t>71</w:t>
      </w:r>
      <w:r>
        <w:rPr>
          <w:rFonts w:ascii="Arial" w:eastAsia="Times New Roman" w:hAnsi="Arial" w:cs="Arial"/>
          <w:bCs/>
          <w:color w:val="000000" w:themeColor="text1"/>
          <w:lang w:val="mn-MN"/>
        </w:rPr>
        <w:t xml:space="preserve"> байгууллагыг түүвэрлэн дотоод аудит, хяналт шалгалтыг хий</w:t>
      </w:r>
      <w:r w:rsidR="007663B1">
        <w:rPr>
          <w:rFonts w:ascii="Arial" w:eastAsia="Times New Roman" w:hAnsi="Arial" w:cs="Arial"/>
          <w:bCs/>
          <w:color w:val="000000" w:themeColor="text1"/>
          <w:lang w:val="mn-MN"/>
        </w:rPr>
        <w:t xml:space="preserve">ж, эрсдэлийг </w:t>
      </w:r>
      <w:r w:rsidR="002727B5">
        <w:rPr>
          <w:rFonts w:ascii="Arial" w:eastAsia="Times New Roman" w:hAnsi="Arial" w:cs="Arial"/>
          <w:bCs/>
          <w:color w:val="000000" w:themeColor="text1"/>
          <w:lang w:val="mn-MN"/>
        </w:rPr>
        <w:t>10</w:t>
      </w:r>
      <w:r w:rsidR="00692083">
        <w:rPr>
          <w:rFonts w:ascii="Arial" w:eastAsia="Times New Roman" w:hAnsi="Arial" w:cs="Arial"/>
          <w:bCs/>
          <w:color w:val="000000" w:themeColor="text1"/>
          <w:lang w:val="mn-MN"/>
        </w:rPr>
        <w:t xml:space="preserve"> хувиар бууруул</w:t>
      </w:r>
      <w:r w:rsidR="003070F3">
        <w:rPr>
          <w:rFonts w:ascii="Arial" w:eastAsia="Times New Roman" w:hAnsi="Arial" w:cs="Arial"/>
          <w:bCs/>
          <w:color w:val="000000" w:themeColor="text1"/>
          <w:lang w:val="mn-MN"/>
        </w:rPr>
        <w:t xml:space="preserve">ахаар ажиллаж байна. </w:t>
      </w:r>
    </w:p>
    <w:p w14:paraId="5B9770A9" w14:textId="6A8ECC7F" w:rsidR="007663B1" w:rsidRDefault="007663B1" w:rsidP="007663B1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lang w:val="mn-MN"/>
        </w:rPr>
      </w:pPr>
    </w:p>
    <w:p w14:paraId="53F9AFF4" w14:textId="4787638E" w:rsidR="001459D2" w:rsidRDefault="001459D2" w:rsidP="007E411C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color w:val="000000" w:themeColor="text1"/>
          <w:lang w:val="mn-MN"/>
        </w:rPr>
      </w:pPr>
    </w:p>
    <w:p w14:paraId="0B59485E" w14:textId="28E22CDB" w:rsidR="007B0EC4" w:rsidRDefault="00FC77E8">
      <w:r>
        <w:rPr>
          <w:noProof/>
        </w:rPr>
        <w:drawing>
          <wp:inline distT="0" distB="0" distL="0" distR="0" wp14:anchorId="07DF96FE" wp14:editId="1245233C">
            <wp:extent cx="6233746" cy="2743200"/>
            <wp:effectExtent l="0" t="0" r="152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685F9D5-3FFB-4FF3-831E-C6F37C2A8E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8CB707A" w14:textId="6DC24035" w:rsidR="007663B1" w:rsidRDefault="00FC77E8">
      <w:r>
        <w:rPr>
          <w:noProof/>
        </w:rPr>
        <w:drawing>
          <wp:inline distT="0" distB="0" distL="0" distR="0" wp14:anchorId="502621A5" wp14:editId="064659E8">
            <wp:extent cx="6198235" cy="3147646"/>
            <wp:effectExtent l="0" t="0" r="12065" b="1524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076792F-115B-445B-8DB8-6F6ACFB6A8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663B1" w:rsidSect="007E411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1C"/>
    <w:rsid w:val="001459D2"/>
    <w:rsid w:val="002727B5"/>
    <w:rsid w:val="002E2B9E"/>
    <w:rsid w:val="003070F3"/>
    <w:rsid w:val="00692083"/>
    <w:rsid w:val="007663B1"/>
    <w:rsid w:val="007B0EC4"/>
    <w:rsid w:val="007E411C"/>
    <w:rsid w:val="00BB00CE"/>
    <w:rsid w:val="00C41C5A"/>
    <w:rsid w:val="00F24FDA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3CCE"/>
  <w15:chartTrackingRefBased/>
  <w15:docId w15:val="{B2077CB3-7CF0-4870-AE8F-7096F9B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n-MN">
                <a:latin typeface="Arial" panose="020B0604020202020204" pitchFamily="34" charset="0"/>
                <a:cs typeface="Arial" panose="020B0604020202020204" pitchFamily="34" charset="0"/>
              </a:rPr>
              <a:t>Эрсдэлийн үнэлгээ </a:t>
            </a:r>
          </a:p>
          <a:p>
            <a:pPr>
              <a:defRPr/>
            </a:pPr>
            <a:r>
              <a:rPr lang="mn-MN" sz="1100">
                <a:latin typeface="Arial" panose="020B0604020202020204" pitchFamily="34" charset="0"/>
                <a:cs typeface="Arial" panose="020B0604020202020204" pitchFamily="34" charset="0"/>
              </a:rPr>
              <a:t>/байгууллагын</a:t>
            </a:r>
            <a:r>
              <a:rPr lang="mn-MN" sz="1100" baseline="0">
                <a:latin typeface="Arial" panose="020B0604020202020204" pitchFamily="34" charset="0"/>
                <a:cs typeface="Arial" panose="020B0604020202020204" pitchFamily="34" charset="0"/>
              </a:rPr>
              <a:t> тоо/</a:t>
            </a:r>
            <a:endParaRPr lang="en-US" sz="11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Sheet1!$R$11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Sheet1!$Q$12:$Q$14</c:f>
              <c:strCache>
                <c:ptCount val="3"/>
                <c:pt idx="0">
                  <c:v>Эрсдэл ихтэй</c:v>
                </c:pt>
                <c:pt idx="1">
                  <c:v>Дунд эрсдэлтэй</c:v>
                </c:pt>
                <c:pt idx="2">
                  <c:v>Бага эрсдэлтэй</c:v>
                </c:pt>
              </c:strCache>
            </c:strRef>
          </c:cat>
          <c:val>
            <c:numRef>
              <c:f>Sheet1!$R$12:$R$14</c:f>
              <c:numCache>
                <c:formatCode>General</c:formatCode>
                <c:ptCount val="3"/>
                <c:pt idx="0">
                  <c:v>71</c:v>
                </c:pt>
                <c:pt idx="1">
                  <c:v>41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63-4C7A-AB6E-5355CDFC9D37}"/>
            </c:ext>
          </c:extLst>
        </c:ser>
        <c:ser>
          <c:idx val="1"/>
          <c:order val="1"/>
          <c:tx>
            <c:strRef>
              <c:f>Sheet1!$S$11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Sheet1!$Q$12:$Q$14</c:f>
              <c:strCache>
                <c:ptCount val="3"/>
                <c:pt idx="0">
                  <c:v>Эрсдэл ихтэй</c:v>
                </c:pt>
                <c:pt idx="1">
                  <c:v>Дунд эрсдэлтэй</c:v>
                </c:pt>
                <c:pt idx="2">
                  <c:v>Бага эрсдэлтэй</c:v>
                </c:pt>
              </c:strCache>
            </c:strRef>
          </c:cat>
          <c:val>
            <c:numRef>
              <c:f>Sheet1!$S$12:$S$14</c:f>
              <c:numCache>
                <c:formatCode>General</c:formatCode>
                <c:ptCount val="3"/>
                <c:pt idx="0">
                  <c:v>59</c:v>
                </c:pt>
                <c:pt idx="1">
                  <c:v>41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63-4C7A-AB6E-5355CDFC9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77682256"/>
        <c:axId val="577686520"/>
        <c:axId val="0"/>
      </c:bar3DChart>
      <c:catAx>
        <c:axId val="57768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686520"/>
        <c:crosses val="autoZero"/>
        <c:auto val="1"/>
        <c:lblAlgn val="ctr"/>
        <c:lblOffset val="100"/>
        <c:noMultiLvlLbl val="0"/>
      </c:catAx>
      <c:valAx>
        <c:axId val="57768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682256"/>
        <c:crosses val="autoZero"/>
        <c:crossBetween val="between"/>
      </c:valAx>
      <c:dTable>
        <c:showHorzBorder val="1"/>
        <c:showVertBorder val="0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n-MN">
                <a:latin typeface="Arial" panose="020B0604020202020204" pitchFamily="34" charset="0"/>
                <a:cs typeface="Arial" panose="020B0604020202020204" pitchFamily="34" charset="0"/>
              </a:rPr>
              <a:t>Эрсдэлийн</a:t>
            </a:r>
            <a:r>
              <a:rPr lang="mn-MN" baseline="0">
                <a:latin typeface="Arial" panose="020B0604020202020204" pitchFamily="34" charset="0"/>
                <a:cs typeface="Arial" panose="020B0604020202020204" pitchFamily="34" charset="0"/>
              </a:rPr>
              <a:t> түвшин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Sheet1!$S$65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0489703923778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79-4296-8AC4-B61FCDDF7E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Sheet1!$P$66:$P$68</c:f>
              <c:strCache>
                <c:ptCount val="3"/>
                <c:pt idx="0">
                  <c:v>Эрсдэл ихтэй</c:v>
                </c:pt>
                <c:pt idx="1">
                  <c:v>Дунд эрсдэлтэй</c:v>
                </c:pt>
                <c:pt idx="2">
                  <c:v>Бага эрсдэлтэй</c:v>
                </c:pt>
              </c:strCache>
            </c:strRef>
          </c:cat>
          <c:val>
            <c:numRef>
              <c:f>Sheet1!$S$66:$S$68</c:f>
              <c:numCache>
                <c:formatCode>0%</c:formatCode>
                <c:ptCount val="3"/>
                <c:pt idx="0">
                  <c:v>0.45</c:v>
                </c:pt>
                <c:pt idx="1">
                  <c:v>0.25949367088607594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5F-452C-B596-908F867D10CE}"/>
            </c:ext>
          </c:extLst>
        </c:ser>
        <c:ser>
          <c:idx val="1"/>
          <c:order val="1"/>
          <c:tx>
            <c:strRef>
              <c:f>Sheet1!$T$65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B05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Sheet1!$P$66:$P$68</c:f>
              <c:strCache>
                <c:ptCount val="3"/>
                <c:pt idx="0">
                  <c:v>Эрсдэл ихтэй</c:v>
                </c:pt>
                <c:pt idx="1">
                  <c:v>Дунд эрсдэлтэй</c:v>
                </c:pt>
                <c:pt idx="2">
                  <c:v>Бага эрсдэлтэй</c:v>
                </c:pt>
              </c:strCache>
            </c:strRef>
          </c:cat>
          <c:val>
            <c:numRef>
              <c:f>Sheet1!$T$66:$T$68</c:f>
              <c:numCache>
                <c:formatCode>0%</c:formatCode>
                <c:ptCount val="3"/>
                <c:pt idx="0">
                  <c:v>0.37341772151898733</c:v>
                </c:pt>
                <c:pt idx="1">
                  <c:v>0.25949367088607594</c:v>
                </c:pt>
                <c:pt idx="2">
                  <c:v>0.36708860759493672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5F-452C-B596-908F867D1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693509472"/>
        <c:axId val="693506848"/>
        <c:axId val="0"/>
      </c:bar3DChart>
      <c:catAx>
        <c:axId val="69350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3506848"/>
        <c:crosses val="autoZero"/>
        <c:auto val="1"/>
        <c:lblAlgn val="ctr"/>
        <c:lblOffset val="100"/>
        <c:noMultiLvlLbl val="0"/>
      </c:catAx>
      <c:valAx>
        <c:axId val="69350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350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Pc</cp:lastModifiedBy>
  <cp:revision>7</cp:revision>
  <dcterms:created xsi:type="dcterms:W3CDTF">2022-01-11T02:58:00Z</dcterms:created>
  <dcterms:modified xsi:type="dcterms:W3CDTF">2022-11-04T11:54:00Z</dcterms:modified>
</cp:coreProperties>
</file>